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0F7411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8C7D0E">
        <w:rPr>
          <w:bCs w:val="0"/>
          <w:color w:val="1D1B11" w:themeColor="background2" w:themeShade="1A"/>
          <w:sz w:val="24"/>
          <w:szCs w:val="24"/>
        </w:rPr>
        <w:t>4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F7411">
        <w:rPr>
          <w:bCs w:val="0"/>
          <w:sz w:val="24"/>
          <w:szCs w:val="24"/>
        </w:rPr>
        <w:t>о</w:t>
      </w:r>
      <w:r w:rsidRPr="000F7411">
        <w:rPr>
          <w:sz w:val="24"/>
          <w:szCs w:val="24"/>
        </w:rPr>
        <w:t xml:space="preserve"> проведении закупа Изделия медицинского назначения</w:t>
      </w:r>
      <w:r w:rsidR="00A72EEE" w:rsidRPr="000F7411">
        <w:rPr>
          <w:sz w:val="24"/>
          <w:szCs w:val="24"/>
        </w:rPr>
        <w:t xml:space="preserve"> </w:t>
      </w:r>
      <w:r w:rsidRPr="000F7411">
        <w:rPr>
          <w:sz w:val="24"/>
          <w:szCs w:val="24"/>
        </w:rPr>
        <w:t>способом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F7411">
        <w:rPr>
          <w:sz w:val="24"/>
          <w:szCs w:val="24"/>
        </w:rPr>
        <w:t>запроса ценовых предложений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spellStart"/>
      <w:r w:rsidRPr="000F7411">
        <w:rPr>
          <w:sz w:val="24"/>
          <w:szCs w:val="24"/>
        </w:rPr>
        <w:t>г</w:t>
      </w:r>
      <w:proofErr w:type="gramStart"/>
      <w:r w:rsidRPr="000F7411">
        <w:rPr>
          <w:sz w:val="24"/>
          <w:szCs w:val="24"/>
        </w:rPr>
        <w:t>.А</w:t>
      </w:r>
      <w:proofErr w:type="gramEnd"/>
      <w:r w:rsidRPr="000F7411">
        <w:rPr>
          <w:sz w:val="24"/>
          <w:szCs w:val="24"/>
        </w:rPr>
        <w:t>лматы</w:t>
      </w:r>
      <w:proofErr w:type="spellEnd"/>
      <w:r w:rsidRPr="000F7411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 w:rsidRPr="000F7411">
        <w:rPr>
          <w:sz w:val="24"/>
          <w:szCs w:val="24"/>
        </w:rPr>
        <w:t xml:space="preserve">                             </w:t>
      </w:r>
      <w:r w:rsidR="00E41EC2">
        <w:rPr>
          <w:sz w:val="24"/>
          <w:szCs w:val="24"/>
        </w:rPr>
        <w:t>01 .03</w:t>
      </w:r>
      <w:r w:rsidRPr="000F7411">
        <w:rPr>
          <w:sz w:val="24"/>
          <w:szCs w:val="24"/>
        </w:rPr>
        <w:t>.</w:t>
      </w:r>
      <w:r w:rsidR="0048124F" w:rsidRPr="000F7411">
        <w:rPr>
          <w:sz w:val="24"/>
          <w:szCs w:val="24"/>
        </w:rPr>
        <w:t xml:space="preserve"> 2021</w:t>
      </w:r>
      <w:r w:rsidRPr="000F7411">
        <w:rPr>
          <w:sz w:val="24"/>
          <w:szCs w:val="24"/>
        </w:rPr>
        <w:t>г</w:t>
      </w:r>
    </w:p>
    <w:p w:rsidR="0081653B" w:rsidRPr="000F7411" w:rsidRDefault="0081653B" w:rsidP="000F7411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8C7D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марта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8C7D0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09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марта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 w:rsidRPr="000F741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</w:t>
      </w:r>
      <w:r w:rsid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заявке заказчика.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0F7411" w:rsidRDefault="0081653B" w:rsidP="000F7411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0F7411" w:rsidRDefault="0081653B" w:rsidP="000F7411">
      <w:pPr>
        <w:spacing w:line="240" w:lineRule="auto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Конверт содержит: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0F7411">
        <w:rPr>
          <w:rStyle w:val="s0"/>
          <w:sz w:val="24"/>
          <w:szCs w:val="24"/>
        </w:rPr>
        <w:t>.п</w:t>
      </w:r>
      <w:proofErr w:type="gramEnd"/>
      <w:r w:rsidRPr="000F7411">
        <w:rPr>
          <w:rStyle w:val="s0"/>
          <w:sz w:val="24"/>
          <w:szCs w:val="24"/>
        </w:rPr>
        <w:t>риложение),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81653B" w:rsidRPr="000F7411" w:rsidRDefault="0081653B" w:rsidP="000F7411">
      <w:pPr>
        <w:spacing w:line="240" w:lineRule="auto"/>
        <w:ind w:firstLine="400"/>
        <w:rPr>
          <w:rStyle w:val="s0"/>
          <w:sz w:val="24"/>
          <w:szCs w:val="24"/>
        </w:rPr>
      </w:pPr>
      <w:r w:rsidRPr="000F7411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0F74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0F7411">
        <w:rPr>
          <w:rStyle w:val="s0"/>
          <w:sz w:val="24"/>
          <w:szCs w:val="24"/>
        </w:rPr>
        <w:t xml:space="preserve"> Правил:</w:t>
      </w:r>
    </w:p>
    <w:p w:rsidR="0081653B" w:rsidRPr="000F7411" w:rsidRDefault="0081653B" w:rsidP="000F74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End w:id="0"/>
      <w:r w:rsidRPr="000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Pr="000F7411" w:rsidRDefault="0081653B" w:rsidP="000F74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Pr="000F7411" w:rsidRDefault="0081653B" w:rsidP="000F7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713"/>
        <w:gridCol w:w="2906"/>
        <w:gridCol w:w="2939"/>
        <w:gridCol w:w="1774"/>
        <w:gridCol w:w="1750"/>
        <w:gridCol w:w="1865"/>
        <w:gridCol w:w="1839"/>
      </w:tblGrid>
      <w:tr w:rsidR="00E41EC2" w:rsidTr="00E41EC2">
        <w:tc>
          <w:tcPr>
            <w:tcW w:w="1924" w:type="dxa"/>
          </w:tcPr>
          <w:p w:rsidR="00E41EC2" w:rsidRDefault="00E41EC2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5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941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41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996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еденицу</w:t>
            </w:r>
          </w:p>
        </w:tc>
        <w:tc>
          <w:tcPr>
            <w:tcW w:w="1983" w:type="dxa"/>
          </w:tcPr>
          <w:p w:rsidR="00E41EC2" w:rsidRPr="000F7411" w:rsidRDefault="00E41EC2" w:rsidP="00301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реагент M-30CFL 500 мл арт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12-000084,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Реагент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 для гематологического анализатора ВС-3600 закрытого типа.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WBC и дифференцирования WBC  крови на гематологических анализаторах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  Раствор для дифференцировки лейкоцитов, эритроцитов и гемоглобина, при добавлении и разведении крови приводит к лизису эритроцитов и в то же время сохраняет лейкоциты. Специальный жидкий реагент, предназначенный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лизирования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эритроцитов при подсчете гемоглобина. В составе не должны содержаться цианиды и азиды. Флаконы по 500 мл. Флакон должен быть маркирован специальным штриховым кодом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Shenzhen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Bio-medical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совместимым со считывателем для закрытой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системы, для автоматического ввода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параметров в память прибора. РУ РК-МТ-5№020822 от 08.2020г.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флак</w:t>
            </w:r>
            <w:proofErr w:type="spell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Дилюент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М-30D (20л/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арт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12-000047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Реагент - Изотонический разбавитель для гематологического анализатора ВС-3600 закрытого типа.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Изотониче-ский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раствор для разведения крови. Разбавляющий раствор используется для подсчета, дифференцирования по величине клеток крови, дифференцирования WBC, определения гемоглобина на гематологических анализаторах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антибактериаль-ных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присадок должно позволять использовать данный разбавитель в течение всего срока хранения, указанного на канистре. Канистра по 20 литров. Содержит оригинальный штрих код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Shenzhen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Electron-ics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совместимый со считывателем штрих кода закрытой системы для автоматического ввода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референт-ных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параметров в память прибора. РУ РК-МТ-5№020822 от 08.2020г.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199 800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Кровь контрольная B30, 3*3,0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(L, N, H),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0031-30-60730,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новым ТНВЭД)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контрольных растворов для гематологического анализатора ВС-3600 закрытого типа. 3 флакона по 3 мл. Для контроля точности измерения гематологического анализатора. Три флакона: 1 с низким содержанием клеток, 2 со средним содержанием клеток, 3 с высоким содержанием клеток. Производитель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Shenzhen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Bio-Medical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 Китай.  Суспензия с взвешенными форменными элементами, для контроля качества гематологических анализаторов. Набор контрольных растворов предназначен для ежедневного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внутрилабораторного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контроля точности измерений на приборах, использующих в работе базовые реагенты. Набор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должен состоять из флаконов, емкостью не менее 30 мл каждый. Контрольные растворы предоставляют проверенные контрольные данные не менее чем по восьми параметрам клинического анализа крови плюс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допол-нительные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аналитические параметры, относящиеся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трехвершинной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кривой распределения лейкоцитов,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эритро-цитов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тромбоцитов.   Наличие аттестованных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параметров соответствующих низким, нормальным и высоким показателям, указанным во вкладыше, который прилагается к набору. Упаковка содержит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специаль-ный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штриховой код совместимый со считывателем для закрытой системы, для автоматического ввода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референт-ных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параметров в память прибора. РУ РК-МТ-5№020822 от 08.2020г.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1 072 800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диаграммная 50х30х12нар Ч (С новым ТНВЭД)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для гематологического анализатора ВС-3600, размером 50х30х12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наружный</w:t>
            </w:r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Промывочный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-1 Cleaning Solution-1, 10 x 15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Shanghai Long Island </w:t>
            </w:r>
            <w:proofErr w:type="spellStart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Biotec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10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пробозаборника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упаковке 10 флаконов по 15 мл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автоматическому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105-006676-00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Промывочный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-2 Cleaning Solution-2, (2500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) Shanghai Long Island </w:t>
            </w:r>
            <w:proofErr w:type="spellStart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Biotec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105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пробозаборника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Канистра 2500мл.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автоматическому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105-006677-00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Протромбиновое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врем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ПВ),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Protrombin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(РТ) (10х4мл),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105-006659-00,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лиофилизированным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реактивом для приготовления 4 мл готового реактива. Набор рассчитан для проведения 360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определений. Специальный, готовый, оригинальный набор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автоматическому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105-006659-00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493 000</w:t>
            </w:r>
          </w:p>
        </w:tc>
      </w:tr>
      <w:tr w:rsidR="008C7D0E" w:rsidRPr="00E41EC2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06" w:type="dxa"/>
            <w:vAlign w:val="bottom"/>
          </w:tcPr>
          <w:p w:rsidR="008C7D0E" w:rsidRPr="00E41EC2" w:rsidRDefault="008C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Реагент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АПТВ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, APTT Reagent (</w:t>
            </w:r>
            <w:proofErr w:type="spellStart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Ellagic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Acid) 10 x 2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105-006661 Long Island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определения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автоматическому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105-006661-00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361 000</w:t>
            </w:r>
          </w:p>
        </w:tc>
      </w:tr>
      <w:tr w:rsidR="008C7D0E" w:rsidRPr="00E41EC2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6" w:type="dxa"/>
            <w:vAlign w:val="bottom"/>
          </w:tcPr>
          <w:p w:rsidR="008C7D0E" w:rsidRPr="00E41EC2" w:rsidRDefault="008C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Хлорид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CalciumChlorideSolution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10 x 4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: 105-006665-00 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Long Island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Набор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определения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времени в плазме крови. Состав: 10 флаконов с 4 мл готового реактива №2. Набор рассчитан для проведения 720 определений. Реагент должен иметь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смарт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карту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Фибриноген (FIB), (6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мл + 1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мл FRP + 2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75 мл FB).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:105-006671-00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Имидазоловый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буфер.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калибратора для приготовления 1 мл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алибратора. Набор рассчитан на проведение 450 определений. Специальный, готовый, оригинальный набор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автоматическому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105-006671-00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плазма -1,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мл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105-006674-00,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Оригинальный набор контрольной плазмы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автоматическому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105-006674-00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плазма -2,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мл,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105-006675-00,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Оригинальный набор контрольной плазмы к автоматическому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материалов и калибраторов, предназначенных для эффективной работы прибора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рибора. Кат ном. 105-006675-00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(4х35+2х18)  ALT 0102,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:105-000814-00,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Аланинаминотрансферазы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(АСТ) (4*35+2*18)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105-000815-00,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Аспартатаминотрансферазы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(АСТ) (Кинетический, УФ Метод) 600 опр. Набор должен быть маркирован специальным штриховым кодом совместимым со считывателем для закрытой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Мочевая кислота (4*40ml+2*20ml) (UA)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105-000848-00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Мочевой кислоты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R1-4x40ml, R2-2x20ml в оригинальных флаконах. (UA)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уриказно-пероксидазный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метод), 565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Глюкоза (4*40ML+2*20ML) GLU0102,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105-000849-00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GLU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Глюкозы в сыворотке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R1-4x40ml, R2-2x20ml в оригинальных флаконах. 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Glu-GodPap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Глюкозидазный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метод) 560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саркозиноксидазой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(R1: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2х27мл + R2:1х18мл) CREA-S арт.: 105-004614-00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R1-2*27ml, R2-1*18ml в оригинальных флаконах. 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CREA-S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Саркозиноксидазный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метод) 250 опр. Набор должен быть маркирован специальным штриховым кодом совместимым со считывателем для закрытой системы.</w:t>
            </w:r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Мочевина UREA (4х35мл+2х18мл)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105-000824-00,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Мочевины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белок (4*40ML) 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TP0102,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105-000823-00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Общего белка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R-4x40ml в оригинальных флаконах.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Биуретовый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метод). 730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80 800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холестерин (ТС) (4х40мл)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105-000820-00,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Общего холестерина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R-4x40ml в оригинальных флаконах.  (ТС) (конечная точка,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холестеролоксидаза-пероксидаза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Билирубин общий (4*35ml+2*18ml)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Т) TBI0202,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105-000826-00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Общего билирубина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Bil-T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(Метод VOX). 600 опр. Набор должен быть маркирован специальным штриховым кодом совместимым со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Билирубин прямой (4*35ml+2*18ml)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D) DBI0202,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105-000827-00,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Прямого билирубина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Bil-D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Триглицериды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(4*40ml)  (TG) TG0102,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105-000821-00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Триглицеридов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R1-4x40ml в оригинальных флаконах.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Холестерин высокой плотности (1х40+1х14),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105-000835-00,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Триглицеридов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R1-4x40ml в оригинальных флаконах.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608 400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Холестерин низкой плотности (1х40+1х14),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105-000836-00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Липоротеинов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низкой плотности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692 400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Калибровочный стандарт для липидов (HDLC,LDLC)арт.105-001128-00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1 мл калибровочной сыворотки с известным содержанием APOA1,APOB, HDLC,LDLC. 5 флаконов.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Упаковка должна быть маркирована специальным штриховым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310 200</w:t>
            </w:r>
          </w:p>
        </w:tc>
      </w:tr>
      <w:tr w:rsidR="008C7D0E" w:rsidRPr="00E41EC2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06" w:type="dxa"/>
            <w:vAlign w:val="bottom"/>
          </w:tcPr>
          <w:p w:rsidR="008C7D0E" w:rsidRPr="00E41EC2" w:rsidRDefault="008C7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Мультикалибратор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(10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3 ml),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: 105-001144-00 Multi Sera Calibrator  </w:t>
            </w:r>
            <w:proofErr w:type="spellStart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Mindray</w:t>
            </w:r>
            <w:proofErr w:type="spellEnd"/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набор</w:t>
            </w:r>
            <w:r w:rsidRPr="00E41E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калибровочной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сыворотки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известным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содержанием</w:t>
            </w:r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 ALB, ALP, ALT, AMY, AST, DBVOX, TB-VOX, Ca, TC, CK, </w:t>
            </w:r>
            <w:proofErr w:type="spellStart"/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>Crea-Jaff</w:t>
            </w:r>
            <w:proofErr w:type="spellEnd"/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>Crea</w:t>
            </w:r>
            <w:proofErr w:type="spellEnd"/>
            <w:r w:rsidRPr="008C7D0E">
              <w:rPr>
                <w:rFonts w:ascii="Arial" w:hAnsi="Arial" w:cs="Arial"/>
                <w:sz w:val="20"/>
                <w:szCs w:val="20"/>
                <w:lang w:val="en-US"/>
              </w:rPr>
              <w:t xml:space="preserve">-S, GLU-O, GGT, LDH-L, Mg, P, TP, TG, Urea, UA, CHE.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10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сыворотка L1 Норма  (N), (6*5 мл). Арт.:105-009119-00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5 мл контрольной сыворотки с известным нормальным содержанием ALB; ALP; ALT; AMY; AST; DB-DSA;  DB-VOX;  TB-DSA;  TB-VOX;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TC;  CK;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Crea-S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GLU-HK;  GLU-O;  GGT;  HBDH;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LDH;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P;  TP;  TG;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UA;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CHE; LIP;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Na+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K+;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-; C3; C4; CRP; HS-CRP; HDL-C; LDL-C; Apo-A1;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Apo-B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PA; CK-MB; ASO; TRF; FER; UIBC.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935 200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сыворотка L2 (P), (6*5 мл). Арт.:105-009120-00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5 мл контрольной сыворотки с известным патологическим содержанием ALB; ALP; ALT; AMY; AST; DB-DSA;  DB-VOX;  TB-DSA;  TB-VOX;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TC;  CK;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Crea-S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GLU-HK;  GLU-O;  GGT;  HBDH;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LDH;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P;  TP;  TG;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UA;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CHE; LIP;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Na+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K+;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-; C3; C4; CRP; HS-CRP; HDL-C; LDL-C; Apo-A1;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Apo-B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PA; CK-MB; ASO; TRF; FER; UIBC.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1 110 900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Щелочная фосфатаза (ALP) 4*35ml+2*18ml),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105-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000816-00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Набор для определения Щелочной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фосфотазы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оригинальных флаконах.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Альбумин (ALB) (4*40ml),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105-000822-00,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Альбумина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 R1-4x40ml в оригинальных флаконах. *(ALB) (Метод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бромкрезоловым-зеленым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Гаммаглутамилтрансфераза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(ГГТ)/(GGT)  (4*35ml+2*18ml)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105-000817-00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Гаммаглутамилтрансферазы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R1-4x35ml, R2-2x18ml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оригинальных флаконах. *(ГГТ) (Кинетический метод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стандартный кинетический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Q) (2×40мл+1×16мл) артикул: 105-001583-00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Железа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R1: 2х40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мл+R2: 1х16 мл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Calibrator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1х1.5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мл+Control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1х5 мл в оригинальных флаконах.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Q) 260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Кальций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(4*40ml)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105-000825-00,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Кальция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.R-4x40ml, в оригинальных флаконах.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(Колориметрический метод) 490 опр. Набор должен быть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Магний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(4*40ml) артикул: 105-000834-00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Магния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R-4x40ml, в оригинальных флаконах.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Ксилидил-синий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магоновый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метод). 490 опр. 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С-реактивный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белок (СРБ) (Метод нефелометрии) 1*40ML +1*10ML,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:105-000841-00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С-реактивного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белка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R1-4x40ml, R2-1x10ml в оригинальных флаконах. *(СРБ) (Метод нефелометрии). 120 опр. Набор должен быть маркирован специальным штриховым кодом совместимым со считывателем для закрытой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289 100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Ревматоидный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 II с калибратором R1:1х40 мл + R2: 1х11 мл 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:105-007676-00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Ревматоидный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 II с калибратором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R1 1×40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R2 1×15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оригинальных флаконах. 200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647 500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Триплконтроль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(L:3*1мл+H:3*1мл). Арт.:105-004650-00.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приготовления 1 мл калибровочной сыворотки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методик. 3 флакона.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263 400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526 800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Антитела против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стрептолизина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калибр 0 (R1 1*40мл)  (R2 1*40мл)  (ASO) арт.: 105-007673-00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Антистрептолизина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II с калибратором в сыворотке крови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BS-430 закрытого типа без произвольных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методик. R1 1×40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R2 1×40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Calibrator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1×0.5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оригинальных флаконах. 240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Кюветы реакционные для  BS-200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(10*8), арт. ВА33-30-55737</w:t>
            </w:r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Кюветы 8х10из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BS-200Е закрытого типа без произвольных методик.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136 300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408 900</w:t>
            </w:r>
          </w:p>
        </w:tc>
      </w:tr>
      <w:tr w:rsidR="008C7D0E" w:rsidTr="0006400F">
        <w:tc>
          <w:tcPr>
            <w:tcW w:w="1924" w:type="dxa"/>
          </w:tcPr>
          <w:p w:rsidR="008C7D0E" w:rsidRDefault="008C7D0E" w:rsidP="000F7411">
            <w:pPr>
              <w:spacing w:after="0" w:line="240" w:lineRule="auto"/>
              <w:jc w:val="center"/>
              <w:rPr>
                <w:rStyle w:val="s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s0"/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6" w:type="dxa"/>
            <w:vAlign w:val="bottom"/>
          </w:tcPr>
          <w:p w:rsidR="008C7D0E" w:rsidRDefault="008C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галогенная для BS200E- 12V,20W,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801-ВА80-00222-00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095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Галогено-вольфрамовая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лампа из комплекта биохимический анализатор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BS-200Е закрытого типа без произвольных методик.</w:t>
            </w:r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41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130 800</w:t>
            </w:r>
          </w:p>
        </w:tc>
        <w:tc>
          <w:tcPr>
            <w:tcW w:w="1983" w:type="dxa"/>
            <w:vAlign w:val="center"/>
          </w:tcPr>
          <w:p w:rsidR="008C7D0E" w:rsidRDefault="008C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392 400</w:t>
            </w:r>
          </w:p>
        </w:tc>
      </w:tr>
    </w:tbl>
    <w:p w:rsidR="0081653B" w:rsidRPr="000F7411" w:rsidRDefault="0081653B" w:rsidP="000F7411">
      <w:pPr>
        <w:spacing w:after="0" w:line="240" w:lineRule="auto"/>
        <w:ind w:firstLine="709"/>
        <w:jc w:val="center"/>
        <w:rPr>
          <w:rStyle w:val="s0"/>
          <w:rFonts w:eastAsia="Times New Roman"/>
          <w:sz w:val="24"/>
          <w:szCs w:val="24"/>
          <w:lang w:eastAsia="ru-RU"/>
        </w:rPr>
      </w:pPr>
    </w:p>
    <w:sectPr w:rsidR="0081653B" w:rsidRPr="000F7411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37" w:rsidRDefault="00634637" w:rsidP="00F7777F">
      <w:pPr>
        <w:spacing w:after="0" w:line="240" w:lineRule="auto"/>
      </w:pPr>
      <w:r>
        <w:separator/>
      </w:r>
    </w:p>
  </w:endnote>
  <w:endnote w:type="continuationSeparator" w:id="0">
    <w:p w:rsidR="00634637" w:rsidRDefault="00634637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37" w:rsidRDefault="00634637" w:rsidP="00F7777F">
      <w:pPr>
        <w:spacing w:after="0" w:line="240" w:lineRule="auto"/>
      </w:pPr>
      <w:r>
        <w:separator/>
      </w:r>
    </w:p>
  </w:footnote>
  <w:footnote w:type="continuationSeparator" w:id="0">
    <w:p w:rsidR="00634637" w:rsidRDefault="00634637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7411"/>
    <w:rsid w:val="001161D1"/>
    <w:rsid w:val="00117BD5"/>
    <w:rsid w:val="001227EC"/>
    <w:rsid w:val="00132679"/>
    <w:rsid w:val="00135A5E"/>
    <w:rsid w:val="00163FC0"/>
    <w:rsid w:val="00165289"/>
    <w:rsid w:val="001730A6"/>
    <w:rsid w:val="001B21FD"/>
    <w:rsid w:val="001B3CA2"/>
    <w:rsid w:val="001C4F50"/>
    <w:rsid w:val="001D01EF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4F26C9"/>
    <w:rsid w:val="005034AA"/>
    <w:rsid w:val="00523336"/>
    <w:rsid w:val="005340F8"/>
    <w:rsid w:val="005406DE"/>
    <w:rsid w:val="0054472C"/>
    <w:rsid w:val="00584343"/>
    <w:rsid w:val="005925CF"/>
    <w:rsid w:val="005A4941"/>
    <w:rsid w:val="005B6AB1"/>
    <w:rsid w:val="005C1E76"/>
    <w:rsid w:val="005C4A96"/>
    <w:rsid w:val="005C7164"/>
    <w:rsid w:val="005D11F3"/>
    <w:rsid w:val="005D2B9F"/>
    <w:rsid w:val="005E2994"/>
    <w:rsid w:val="005F2A0A"/>
    <w:rsid w:val="0061174E"/>
    <w:rsid w:val="00634637"/>
    <w:rsid w:val="00652AD4"/>
    <w:rsid w:val="00660A0A"/>
    <w:rsid w:val="00691378"/>
    <w:rsid w:val="006A31E7"/>
    <w:rsid w:val="006C3162"/>
    <w:rsid w:val="006E0873"/>
    <w:rsid w:val="007201C7"/>
    <w:rsid w:val="0073618A"/>
    <w:rsid w:val="0074109E"/>
    <w:rsid w:val="007514B1"/>
    <w:rsid w:val="00771B70"/>
    <w:rsid w:val="007A6F9A"/>
    <w:rsid w:val="007D040A"/>
    <w:rsid w:val="007D3B8F"/>
    <w:rsid w:val="007D47F8"/>
    <w:rsid w:val="007D78C3"/>
    <w:rsid w:val="007E6E9F"/>
    <w:rsid w:val="00804213"/>
    <w:rsid w:val="0081653B"/>
    <w:rsid w:val="00821ED1"/>
    <w:rsid w:val="00844EEC"/>
    <w:rsid w:val="0089717D"/>
    <w:rsid w:val="008C0569"/>
    <w:rsid w:val="008C7D0E"/>
    <w:rsid w:val="008D632C"/>
    <w:rsid w:val="008E4E32"/>
    <w:rsid w:val="008F598A"/>
    <w:rsid w:val="009107E3"/>
    <w:rsid w:val="00934F14"/>
    <w:rsid w:val="00952066"/>
    <w:rsid w:val="0096424A"/>
    <w:rsid w:val="009A7671"/>
    <w:rsid w:val="009D5574"/>
    <w:rsid w:val="00A144A4"/>
    <w:rsid w:val="00A3316C"/>
    <w:rsid w:val="00A3766A"/>
    <w:rsid w:val="00A67F3C"/>
    <w:rsid w:val="00A72EEE"/>
    <w:rsid w:val="00A83D55"/>
    <w:rsid w:val="00A871F3"/>
    <w:rsid w:val="00A9443A"/>
    <w:rsid w:val="00AA1D96"/>
    <w:rsid w:val="00AB081F"/>
    <w:rsid w:val="00AB10DB"/>
    <w:rsid w:val="00AB5F2B"/>
    <w:rsid w:val="00AE30A7"/>
    <w:rsid w:val="00AE4801"/>
    <w:rsid w:val="00AF18BD"/>
    <w:rsid w:val="00AF1F33"/>
    <w:rsid w:val="00B40A41"/>
    <w:rsid w:val="00B5489B"/>
    <w:rsid w:val="00B55E4A"/>
    <w:rsid w:val="00B63373"/>
    <w:rsid w:val="00B701FC"/>
    <w:rsid w:val="00B702C0"/>
    <w:rsid w:val="00B71B38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9574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55D0A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14BE3"/>
    <w:rsid w:val="00E16A97"/>
    <w:rsid w:val="00E2504E"/>
    <w:rsid w:val="00E4180E"/>
    <w:rsid w:val="00E41EC2"/>
    <w:rsid w:val="00E54B03"/>
    <w:rsid w:val="00E6092C"/>
    <w:rsid w:val="00E63BFE"/>
    <w:rsid w:val="00EA17DC"/>
    <w:rsid w:val="00EB266B"/>
    <w:rsid w:val="00EB58C9"/>
    <w:rsid w:val="00EC3E2E"/>
    <w:rsid w:val="00EC7BD2"/>
    <w:rsid w:val="00EE24C9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2021-03-01T10:13:00Z</dcterms:created>
  <dcterms:modified xsi:type="dcterms:W3CDTF">2021-03-01T10:13:00Z</dcterms:modified>
</cp:coreProperties>
</file>